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94960" cy="92313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use-ad-profits-logo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94960" cy="92313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Title"/>
        <w:jc w:val="center"/>
      </w:pPr>
      <w:r>
        <w:t>Creative Vault Quick-Start Guide</w:t>
      </w:r>
    </w:p>
    <w:p>
      <w:pPr>
        <w:jc w:val="center"/>
      </w:pPr>
      <w:r>
        <w:rPr>
          <w:rFonts w:ascii="Lato" w:hAnsi="Lato"/>
          <w:color w:val="64748B"/>
          <w:sz w:val="28"/>
        </w:rPr>
        <w:t>How to edit, export and use your 800×450 pause-ad graphics</w:t>
      </w:r>
    </w:p>
    <w:p>
      <w:pPr>
        <w:jc w:val="center"/>
      </w:pPr>
      <w:r>
        <w:rPr>
          <w:b/>
          <w:color w:val="45C83B"/>
          <w:sz w:val="22"/>
        </w:rPr>
        <w:t>Created for Pause Ad Profits users</w:t>
      </w:r>
    </w:p>
    <w:p>
      <w:r>
        <w:br w:type="page"/>
      </w:r>
    </w:p>
    <w:p>
      <w:pPr>
        <w:pStyle w:val="Heading1"/>
      </w:pPr>
      <w:r>
        <w:t>What Is Included</w:t>
      </w:r>
    </w:p>
    <w:p>
      <w:pPr>
        <w:pStyle w:val="ListBullet"/>
        <w:spacing w:after="40"/>
      </w:pPr>
      <w:r>
        <w:t>30 professionally designed 800×450 pause-ad graphics.</w:t>
      </w:r>
    </w:p>
    <w:p>
      <w:pPr>
        <w:pStyle w:val="ListBullet"/>
        <w:spacing w:after="40"/>
      </w:pPr>
      <w:r>
        <w:t>A PowerPoint file containing all 30 fully editable templates.</w:t>
      </w:r>
    </w:p>
    <w:p>
      <w:pPr>
        <w:pStyle w:val="ListBullet"/>
        <w:spacing w:after="40"/>
      </w:pPr>
      <w:r>
        <w:t>Ready-to-use PNG versions of every design.</w:t>
      </w:r>
    </w:p>
    <w:p>
      <w:pPr>
        <w:pStyle w:val="ListBullet"/>
        <w:spacing w:after="40"/>
      </w:pPr>
      <w:r>
        <w:t>A headline, supporting-text and CTA swipe library.</w:t>
      </w:r>
    </w:p>
    <w:p>
      <w:pPr>
        <w:pStyle w:val="ListBullet"/>
        <w:spacing w:after="40"/>
      </w:pPr>
      <w:r>
        <w:t>A campaign recipe book with complete multi-ad campaign ideas.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66"/>
      </w:tblGrid>
      <w:tr>
        <w:tc>
          <w:tcPr>
            <w:tcW w:type="dxa" w:w="10166"/>
            <w:shd w:fill="EEF5FF"/>
          </w:tcPr>
          <w:p>
            <w:r>
              <w:rPr>
                <w:b/>
                <w:color w:val="1556D8"/>
                <w:sz w:val="22"/>
              </w:rPr>
              <w:t>Fastest Way To Start</w:t>
              <w:br/>
            </w:r>
            <w:r>
              <w:rPr>
                <w:sz w:val="20"/>
              </w:rPr>
              <w:t>Choose a PNG from the Ready-to-Use-PNGs folder, create an image-only ad in Pause Ad Profits, add your destination URL and save it to a campaign.</w:t>
            </w:r>
          </w:p>
        </w:tc>
      </w:tr>
    </w:tbl>
    <w:p/>
    <w:p>
      <w:pPr>
        <w:pStyle w:val="Heading1"/>
      </w:pPr>
      <w:r>
        <w:t>Using A Ready-to-Use PNG</w:t>
      </w:r>
    </w:p>
    <w:p>
      <w:r>
        <w:rPr>
          <w:b/>
          <w:color w:val="1556D8"/>
        </w:rPr>
        <w:t>1. Choose a design</w:t>
      </w:r>
      <w:r>
        <w:t xml:space="preserve"> — Open the Ready-to-Use-PNGs folder and select the graphic that best matches your offer.</w:t>
      </w:r>
    </w:p>
    <w:p>
      <w:r>
        <w:rPr>
          <w:b/>
          <w:color w:val="1556D8"/>
        </w:rPr>
        <w:t>2. Create or edit a PAP ad</w:t>
      </w:r>
      <w:r>
        <w:t xml:space="preserve"> — Inside Pause Ad Profits, open the campaign where the graphic should appear and create an image-only ad.</w:t>
      </w:r>
    </w:p>
    <w:p>
      <w:r>
        <w:rPr>
          <w:b/>
          <w:color w:val="1556D8"/>
        </w:rPr>
        <w:t>3. Upload the PNG</w:t>
      </w:r>
      <w:r>
        <w:t xml:space="preserve"> — Select the chosen 800×450 image. The complete headline, supporting copy and visual CTA are already built into it.</w:t>
      </w:r>
    </w:p>
    <w:p>
      <w:r>
        <w:rPr>
          <w:b/>
          <w:color w:val="1556D8"/>
        </w:rPr>
        <w:t>4. Add the destination</w:t>
      </w:r>
      <w:r>
        <w:t xml:space="preserve"> — Enter the page that should open when the viewer clicks the pause ad.</w:t>
      </w:r>
    </w:p>
    <w:p>
      <w:r>
        <w:rPr>
          <w:b/>
          <w:color w:val="1556D8"/>
        </w:rPr>
        <w:t>5. Save and test</w:t>
      </w:r>
      <w:r>
        <w:t xml:space="preserve"> — Pause the video on desktop and in fullscreen on a phone. Confirm that the image is readable and the click opens the correct page.</w:t>
      </w:r>
    </w:p>
    <w:p>
      <w:pPr>
        <w:pStyle w:val="Heading1"/>
      </w:pPr>
      <w:r>
        <w:t>Editing A Template</w:t>
      </w:r>
    </w:p>
    <w:p>
      <w:pPr>
        <w:pStyle w:val="ListBullet"/>
        <w:spacing w:after="40"/>
      </w:pPr>
      <w:r>
        <w:t>Open PAP-Creative-Vault-30-Editable-Templates.pptx in Microsoft PowerPoint or another application that can edit PowerPoint slides.</w:t>
      </w:r>
    </w:p>
    <w:p>
      <w:pPr>
        <w:pStyle w:val="ListBullet"/>
        <w:spacing w:after="40"/>
      </w:pPr>
      <w:r>
        <w:t>Each slide is one 16:9 pause-ad design. Click any text box to replace the headline, supporting text, badge, CTA or YOUR BRAND label.</w:t>
      </w:r>
    </w:p>
    <w:p>
      <w:pPr>
        <w:pStyle w:val="ListBullet"/>
        <w:spacing w:after="40"/>
      </w:pPr>
      <w:r>
        <w:t>Click shapes to change their fill colors, borders or position. All core design elements are editable PowerPoint objects.</w:t>
      </w:r>
    </w:p>
    <w:p>
      <w:pPr>
        <w:pStyle w:val="ListBullet"/>
        <w:spacing w:after="40"/>
      </w:pPr>
      <w:r>
        <w:t>Keep the headline short. Two lines is ideal. Use the Swipe Library when you need alternate wording.</w:t>
      </w:r>
    </w:p>
    <w:p>
      <w:pPr>
        <w:pStyle w:val="ListBullet"/>
        <w:spacing w:after="40"/>
      </w:pPr>
      <w:r>
        <w:t>Export only the finished slide as a PNG, then resize or crop it to exactly 800×450 pixels when required by your editor.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66"/>
      </w:tblGrid>
      <w:tr>
        <w:tc>
          <w:tcPr>
            <w:tcW w:type="dxa" w:w="10166"/>
            <w:shd w:fill="EEF5FF"/>
          </w:tcPr>
          <w:p>
            <w:r>
              <w:rPr>
                <w:b/>
                <w:color w:val="1556D8"/>
                <w:sz w:val="22"/>
              </w:rPr>
              <w:t>Important</w:t>
              <w:br/>
            </w:r>
            <w:r>
              <w:rPr>
                <w:sz w:val="20"/>
              </w:rPr>
              <w:t>Do not place a real clickable URL inside the image. Add the destination URL in Pause Ad Profits so the entire pause ad can be clicked and tracked.</w:t>
            </w:r>
          </w:p>
        </w:tc>
      </w:tr>
    </w:tbl>
    <w:p/>
    <w:p>
      <w:pPr>
        <w:pStyle w:val="Heading1"/>
      </w:pPr>
      <w:r>
        <w:t>Choosing The Right Design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</w:trPr>
        <w:tc>
          <w:tcPr>
            <w:tcW w:type="dxa" w:w="5083"/>
            <w:shd w:fill="0B2348"/>
          </w:tcPr>
          <w:p>
            <w:r>
              <w:rPr>
                <w:b/>
                <w:color w:val="FFFFFF"/>
              </w:rPr>
              <w:t>Folder / Theme</w:t>
            </w:r>
          </w:p>
        </w:tc>
        <w:tc>
          <w:tcPr>
            <w:tcW w:type="dxa" w:w="5083"/>
            <w:shd w:fill="0B2348"/>
          </w:tcPr>
          <w:p>
            <w:r>
              <w:rPr>
                <w:b/>
                <w:color w:val="FFFFFF"/>
              </w:rPr>
              <w:t>Best Use</w:t>
            </w:r>
          </w:p>
        </w:tc>
      </w:tr>
      <w:tr>
        <w:tc>
          <w:tcPr>
            <w:tcW w:type="dxa" w:w="5083"/>
          </w:tcPr>
          <w:p>
            <w:r>
              <w:t>Affiliate Promotions</w:t>
            </w:r>
          </w:p>
        </w:tc>
        <w:tc>
          <w:tcPr>
            <w:tcW w:type="dxa" w:w="5083"/>
          </w:tcPr>
          <w:p>
            <w:r>
              <w:t>Product recommendations, bonuses, reviews and demonstrations.</w:t>
            </w:r>
          </w:p>
        </w:tc>
      </w:tr>
      <w:tr>
        <w:tc>
          <w:tcPr>
            <w:tcW w:type="dxa" w:w="5083"/>
          </w:tcPr>
          <w:p>
            <w:r>
              <w:t>Lead Generation</w:t>
            </w:r>
          </w:p>
        </w:tc>
        <w:tc>
          <w:tcPr>
            <w:tcW w:type="dxa" w:w="5083"/>
          </w:tcPr>
          <w:p>
            <w:r>
              <w:t>Checklists, reports, newsletters, free training and opt-in offers.</w:t>
            </w:r>
          </w:p>
        </w:tc>
      </w:tr>
      <w:tr>
        <w:tc>
          <w:tcPr>
            <w:tcW w:type="dxa" w:w="5083"/>
          </w:tcPr>
          <w:p>
            <w:r>
              <w:t>Webinars and Events</w:t>
            </w:r>
          </w:p>
        </w:tc>
        <w:tc>
          <w:tcPr>
            <w:tcW w:type="dxa" w:w="5083"/>
          </w:tcPr>
          <w:p>
            <w:r>
              <w:t>Registrations, reminders, limited seats and replay promotions.</w:t>
            </w:r>
          </w:p>
        </w:tc>
      </w:tr>
      <w:tr>
        <w:tc>
          <w:tcPr>
            <w:tcW w:type="dxa" w:w="5083"/>
          </w:tcPr>
          <w:p>
            <w:r>
              <w:t>Software and Services</w:t>
            </w:r>
          </w:p>
        </w:tc>
        <w:tc>
          <w:tcPr>
            <w:tcW w:type="dxa" w:w="5083"/>
          </w:tcPr>
          <w:p>
            <w:r>
              <w:t>Demos, automation tools, services and time-saving solutions.</w:t>
            </w:r>
          </w:p>
        </w:tc>
      </w:tr>
      <w:tr>
        <w:tc>
          <w:tcPr>
            <w:tcW w:type="dxa" w:w="5083"/>
          </w:tcPr>
          <w:p>
            <w:r>
              <w:t>Coupons and Special Offers</w:t>
            </w:r>
          </w:p>
        </w:tc>
        <w:tc>
          <w:tcPr>
            <w:tcW w:type="dxa" w:w="5083"/>
          </w:tcPr>
          <w:p>
            <w:r>
              <w:t>Flash sales, discount codes, deadlines and private pricing.</w:t>
            </w:r>
          </w:p>
        </w:tc>
      </w:tr>
      <w:tr>
        <w:tc>
          <w:tcPr>
            <w:tcW w:type="dxa" w:w="5083"/>
          </w:tcPr>
          <w:p>
            <w:r>
              <w:t>Memberships and Client Offers</w:t>
            </w:r>
          </w:p>
        </w:tc>
        <w:tc>
          <w:tcPr>
            <w:tcW w:type="dxa" w:w="5083"/>
          </w:tcPr>
          <w:p>
            <w:r>
              <w:t>Upgrades, partner offers, client services and cross-promotions.</w:t>
            </w:r>
          </w:p>
        </w:tc>
      </w:tr>
    </w:tbl>
    <w:p>
      <w:pPr>
        <w:pStyle w:val="Heading1"/>
      </w:pPr>
      <w:r>
        <w:t>Pause-Ad Copy Best Practices</w:t>
      </w:r>
    </w:p>
    <w:p>
      <w:pPr>
        <w:pStyle w:val="ListBullet"/>
        <w:spacing w:after="40"/>
      </w:pPr>
      <w:r>
        <w:t>Match the ad to the video topic. A relevant pause ad feels helpful instead of disruptive.</w:t>
      </w:r>
    </w:p>
    <w:p>
      <w:pPr>
        <w:pStyle w:val="ListBullet"/>
        <w:spacing w:after="40"/>
      </w:pPr>
      <w:r>
        <w:t>Promote one action at a time. Avoid competing links or multiple offers in one graphic.</w:t>
      </w:r>
    </w:p>
    <w:p>
      <w:pPr>
        <w:pStyle w:val="ListBullet"/>
        <w:spacing w:after="40"/>
      </w:pPr>
      <w:r>
        <w:t>Use benefit-focused headlines. Tell the viewer what they gain, not merely what the product is.</w:t>
      </w:r>
    </w:p>
    <w:p>
      <w:pPr>
        <w:pStyle w:val="ListBullet"/>
        <w:spacing w:after="40"/>
      </w:pPr>
      <w:r>
        <w:t>Keep supporting text to one or two short sentences.</w:t>
      </w:r>
    </w:p>
    <w:p>
      <w:pPr>
        <w:pStyle w:val="ListBullet"/>
        <w:spacing w:after="40"/>
      </w:pPr>
      <w:r>
        <w:t>Use a specific CTA such as Watch The Demo or Download The Guide instead of Click Here.</w:t>
      </w:r>
    </w:p>
    <w:p>
      <w:pPr>
        <w:pStyle w:val="ListBullet"/>
        <w:spacing w:after="40"/>
      </w:pPr>
      <w:r>
        <w:t>Rotate two or three ads when a video supports more than one logical next step.</w:t>
      </w:r>
    </w:p>
    <w:p>
      <w:pPr>
        <w:pStyle w:val="ListBullet"/>
        <w:spacing w:after="40"/>
      </w:pPr>
      <w:r>
        <w:t>Review campaign statistics and replace weak ads instead of adding more clutter.</w:t>
      </w:r>
    </w:p>
    <w:p>
      <w:pPr>
        <w:pStyle w:val="Heading1"/>
      </w:pPr>
      <w:r>
        <w:t>License Summary</w:t>
      </w:r>
    </w:p>
    <w:p>
      <w:r>
        <w:t>You may customize these materials for your own business and marketing campaigns. Client use requires the PAP Agency &amp; Commercial License. You may not resell, redistribute, give away or repackage the editable templates or original PNG collection as a competing template product. See LICENSE.txt for the complete terms.</w:t>
      </w:r>
    </w:p>
    <w:p>
      <w:pPr>
        <w:pStyle w:val="Heading1"/>
      </w:pPr>
      <w:r>
        <w:t>Your Five-Minute Launch Checklist</w:t>
      </w:r>
    </w:p>
    <w:p>
      <w:pPr>
        <w:pStyle w:val="ListBullet"/>
        <w:spacing w:after="40"/>
      </w:pPr>
      <w:r>
        <w:t>Choose one video and one matching offer.</w:t>
      </w:r>
    </w:p>
    <w:p>
      <w:pPr>
        <w:pStyle w:val="ListBullet"/>
        <w:spacing w:after="40"/>
      </w:pPr>
      <w:r>
        <w:t>Choose one PNG or customize one template.</w:t>
      </w:r>
    </w:p>
    <w:p>
      <w:pPr>
        <w:pStyle w:val="ListBullet"/>
        <w:spacing w:after="40"/>
      </w:pPr>
      <w:r>
        <w:t>Create an image-only PAP ad and add the destination URL.</w:t>
      </w:r>
    </w:p>
    <w:p>
      <w:pPr>
        <w:pStyle w:val="ListBullet"/>
        <w:spacing w:after="40"/>
      </w:pPr>
      <w:r>
        <w:t>Place the ad inside the correct campaign.</w:t>
      </w:r>
    </w:p>
    <w:p>
      <w:pPr>
        <w:pStyle w:val="ListBullet"/>
        <w:spacing w:after="40"/>
      </w:pPr>
      <w:r>
        <w:t>Pause the video and test the click on desktop and mobile fullscreen.</w:t>
      </w:r>
    </w:p>
    <w:p>
      <w:pPr>
        <w:pStyle w:val="ListBullet"/>
        <w:spacing w:after="40"/>
      </w:pPr>
      <w:r>
        <w:t>Check statistics after traffic begins arriving.</w:t>
      </w:r>
    </w:p>
    <w:sectPr w:rsidR="00FC693F" w:rsidRPr="0006063C" w:rsidSect="00034616">
      <w:headerReference w:type="default" r:id="rId10"/>
      <w:footerReference w:type="default" r:id="rId11"/>
      <w:pgSz w:w="12240" w:h="15840"/>
      <w:pgMar w:top="893" w:right="1037" w:bottom="893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t xml:space="preserve">Page </w:t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Lato" w:hAnsi="Lato"/>
        <w:b/>
        <w:color w:val="1556D8"/>
        <w:sz w:val="18"/>
      </w:rPr>
      <w:t>PAP Creative Vault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Lato" w:hAnsi="Lato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Lato" w:hAnsi="Lato"/>
      <w:b/>
      <w:bCs/>
      <w:color w:val="1556D8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Lato" w:hAnsi="Lato"/>
      <w:b/>
      <w:bCs/>
      <w:color w:val="45C83B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Lato" w:hAnsi="Lato"/>
      <w:b/>
      <w:color w:val="0B2348"/>
      <w:spacing w:val="5"/>
      <w:kern w:val="28"/>
      <w:sz w:val="5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eader" Target="header1.xml"/><Relationship Id="rId1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