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drawing>
          <wp:inline xmlns:a="http://schemas.openxmlformats.org/drawingml/2006/main" xmlns:pic="http://schemas.openxmlformats.org/drawingml/2006/picture">
            <wp:extent cx="4800600" cy="821436"/>
            <wp:docPr id="1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pause-ad-profits-logo.pn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800600" cy="821436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pStyle w:val="Title"/>
        <w:jc w:val="center"/>
      </w:pPr>
      <w:r>
        <w:t>Video Audit, Campaign Setup &amp; QA Checklists</w:t>
      </w:r>
    </w:p>
    <w:p>
      <w:pPr>
        <w:jc w:val="center"/>
      </w:pPr>
      <w:r>
        <w:rPr>
          <w:b/>
          <w:color w:val="1473E6"/>
          <w:sz w:val="24"/>
        </w:rPr>
        <w:t>A repeatable delivery process for every PAP client project</w:t>
      </w:r>
    </w:p>
    <w:p>
      <w:pPr>
        <w:jc w:val="center"/>
      </w:pPr>
      <w:r>
        <w:rPr>
          <w:b/>
          <w:color w:val="F59E0B"/>
          <w:sz w:val="18"/>
        </w:rPr>
        <w:t>PAP CLIENT PROFIT KIT</w:t>
      </w:r>
    </w:p>
    <w:p/>
    <w:p>
      <w:pPr>
        <w:pStyle w:val="Heading1"/>
      </w:pPr>
      <w:r>
        <w:t>Pre-Sale Video Audit</w:t>
      </w:r>
    </w:p>
    <w:p>
      <w:r>
        <w:t>[ ] Confirm the live page URL and video platform.</w:t>
      </w:r>
    </w:p>
    <w:p>
      <w:r>
        <w:t>[ ] Confirm the video is HTML5/MP4, Vimeo, Wistia, or Spotlightr.</w:t>
      </w:r>
    </w:p>
    <w:p>
      <w:r>
        <w:t>[ ] Identify the primary offer and desired viewer action.</w:t>
      </w:r>
    </w:p>
    <w:p>
      <w:r>
        <w:t>[ ] Note where the video discusses benefits, proof, pricing, bonuses, urgency, or next steps.</w:t>
      </w:r>
    </w:p>
    <w:p>
      <w:r>
        <w:t>[ ] Identify three to five pause-ad message opportunities.</w:t>
      </w:r>
    </w:p>
    <w:p>
      <w:r>
        <w:t>[ ] Check whether the page builder permits outside JavaScript or only iframe/custom-code blocks.</w:t>
      </w:r>
    </w:p>
    <w:p>
      <w:r>
        <w:t>[ ] Check whether the video is commonly viewed in fullscreen.</w:t>
      </w:r>
    </w:p>
    <w:p>
      <w:r>
        <w:t>[ ] Review desktop and phone page layout.</w:t>
      </w:r>
    </w:p>
    <w:p>
      <w:r>
        <w:t>[ ] Confirm the likely approved domain or domains.</w:t>
      </w:r>
    </w:p>
    <w:p>
      <w:r>
        <w:t>[ ] List copy, creative, access, or compliance questions for the client.</w:t>
      </w:r>
    </w:p>
    <w:p>
      <w:pPr>
        <w:pStyle w:val="Heading2"/>
      </w:pPr>
      <w:r>
        <w:t>Audit Scorecard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3389"/>
        <w:gridCol w:w="3389"/>
        <w:gridCol w:w="3389"/>
      </w:tblGrid>
      <w:tr>
        <w:tc>
          <w:tcPr>
            <w:tcW w:type="dxa" w:w="3312"/>
            <w:shd w:fill="0B1F3A"/>
            <w:vAlign w:val="center"/>
          </w:tcPr>
          <w:p>
            <w:pPr>
              <w:jc w:val="center"/>
            </w:pPr>
            <w:r>
              <w:rPr>
                <w:b/>
                <w:color w:val="FFFFFF"/>
                <w:sz w:val="18"/>
              </w:rPr>
              <w:t>Area</w:t>
            </w:r>
          </w:p>
        </w:tc>
        <w:tc>
          <w:tcPr>
            <w:tcW w:type="dxa" w:w="1440"/>
            <w:shd w:fill="0B1F3A"/>
            <w:vAlign w:val="center"/>
          </w:tcPr>
          <w:p>
            <w:pPr>
              <w:jc w:val="center"/>
            </w:pPr>
            <w:r>
              <w:rPr>
                <w:b/>
                <w:color w:val="FFFFFF"/>
                <w:sz w:val="18"/>
              </w:rPr>
              <w:t>Score 1-5</w:t>
            </w:r>
          </w:p>
        </w:tc>
        <w:tc>
          <w:tcPr>
            <w:tcW w:type="dxa" w:w="4752"/>
            <w:shd w:fill="0B1F3A"/>
            <w:vAlign w:val="center"/>
          </w:tcPr>
          <w:p>
            <w:pPr>
              <w:jc w:val="center"/>
            </w:pPr>
            <w:r>
              <w:rPr>
                <w:b/>
                <w:color w:val="FFFFFF"/>
                <w:sz w:val="18"/>
              </w:rPr>
              <w:t>Notes</w:t>
            </w:r>
          </w:p>
        </w:tc>
      </w:tr>
      <w:tr>
        <w:tc>
          <w:tcPr>
            <w:tcW w:type="dxa" w:w="3312"/>
            <w:vAlign w:val="top"/>
          </w:tcPr>
          <w:p>
            <w:pPr>
              <w:spacing w:after="0"/>
            </w:pPr>
            <w:r>
              <w:rPr>
                <w:sz w:val="17"/>
              </w:rPr>
              <w:t>Clear video goal</w:t>
            </w:r>
          </w:p>
        </w:tc>
        <w:tc>
          <w:tcPr>
            <w:tcW w:type="dxa" w:w="1440"/>
            <w:vAlign w:val="top"/>
          </w:tcPr>
          <w:p>
            <w:pPr>
              <w:spacing w:after="0"/>
            </w:pPr>
            <w:r>
              <w:rPr>
                <w:sz w:val="17"/>
              </w:rPr>
              <w:t>[ ]</w:t>
            </w:r>
          </w:p>
        </w:tc>
        <w:tc>
          <w:tcPr>
            <w:tcW w:type="dxa" w:w="4752"/>
            <w:vAlign w:val="top"/>
          </w:tcPr>
          <w:p>
            <w:pPr>
              <w:spacing w:after="0"/>
            </w:pPr>
            <w:r>
              <w:rPr>
                <w:sz w:val="17"/>
              </w:rPr>
              <w:t>[ ]</w:t>
            </w:r>
          </w:p>
        </w:tc>
      </w:tr>
      <w:tr>
        <w:tc>
          <w:tcPr>
            <w:tcW w:type="dxa" w:w="3312"/>
            <w:vAlign w:val="top"/>
            <w:shd w:fill="F7FAFC"/>
          </w:tcPr>
          <w:p>
            <w:pPr>
              <w:spacing w:after="0"/>
            </w:pPr>
            <w:r>
              <w:rPr>
                <w:sz w:val="17"/>
              </w:rPr>
              <w:t>Strong offer match</w:t>
            </w:r>
          </w:p>
        </w:tc>
        <w:tc>
          <w:tcPr>
            <w:tcW w:type="dxa" w:w="1440"/>
            <w:vAlign w:val="top"/>
            <w:shd w:fill="F7FAFC"/>
          </w:tcPr>
          <w:p>
            <w:pPr>
              <w:spacing w:after="0"/>
            </w:pPr>
            <w:r>
              <w:rPr>
                <w:sz w:val="17"/>
              </w:rPr>
              <w:t>[ ]</w:t>
            </w:r>
          </w:p>
        </w:tc>
        <w:tc>
          <w:tcPr>
            <w:tcW w:type="dxa" w:w="4752"/>
            <w:vAlign w:val="top"/>
            <w:shd w:fill="F7FAFC"/>
          </w:tcPr>
          <w:p>
            <w:pPr>
              <w:spacing w:after="0"/>
            </w:pPr>
            <w:r>
              <w:rPr>
                <w:sz w:val="17"/>
              </w:rPr>
              <w:t>[ ]</w:t>
            </w:r>
          </w:p>
        </w:tc>
      </w:tr>
      <w:tr>
        <w:tc>
          <w:tcPr>
            <w:tcW w:type="dxa" w:w="3312"/>
            <w:vAlign w:val="top"/>
          </w:tcPr>
          <w:p>
            <w:pPr>
              <w:spacing w:after="0"/>
            </w:pPr>
            <w:r>
              <w:rPr>
                <w:sz w:val="17"/>
              </w:rPr>
              <w:t>Useful pause moments</w:t>
            </w:r>
          </w:p>
        </w:tc>
        <w:tc>
          <w:tcPr>
            <w:tcW w:type="dxa" w:w="1440"/>
            <w:vAlign w:val="top"/>
          </w:tcPr>
          <w:p>
            <w:pPr>
              <w:spacing w:after="0"/>
            </w:pPr>
            <w:r>
              <w:rPr>
                <w:sz w:val="17"/>
              </w:rPr>
              <w:t>[ ]</w:t>
            </w:r>
          </w:p>
        </w:tc>
        <w:tc>
          <w:tcPr>
            <w:tcW w:type="dxa" w:w="4752"/>
            <w:vAlign w:val="top"/>
          </w:tcPr>
          <w:p>
            <w:pPr>
              <w:spacing w:after="0"/>
            </w:pPr>
            <w:r>
              <w:rPr>
                <w:sz w:val="17"/>
              </w:rPr>
              <w:t>[ ]</w:t>
            </w:r>
          </w:p>
        </w:tc>
      </w:tr>
      <w:tr>
        <w:tc>
          <w:tcPr>
            <w:tcW w:type="dxa" w:w="3312"/>
            <w:vAlign w:val="top"/>
            <w:shd w:fill="F7FAFC"/>
          </w:tcPr>
          <w:p>
            <w:pPr>
              <w:spacing w:after="0"/>
            </w:pPr>
            <w:r>
              <w:rPr>
                <w:sz w:val="17"/>
              </w:rPr>
              <w:t>Clear CTA</w:t>
            </w:r>
          </w:p>
        </w:tc>
        <w:tc>
          <w:tcPr>
            <w:tcW w:type="dxa" w:w="1440"/>
            <w:vAlign w:val="top"/>
            <w:shd w:fill="F7FAFC"/>
          </w:tcPr>
          <w:p>
            <w:pPr>
              <w:spacing w:after="0"/>
            </w:pPr>
            <w:r>
              <w:rPr>
                <w:sz w:val="17"/>
              </w:rPr>
              <w:t>[ ]</w:t>
            </w:r>
          </w:p>
        </w:tc>
        <w:tc>
          <w:tcPr>
            <w:tcW w:type="dxa" w:w="4752"/>
            <w:vAlign w:val="top"/>
            <w:shd w:fill="F7FAFC"/>
          </w:tcPr>
          <w:p>
            <w:pPr>
              <w:spacing w:after="0"/>
            </w:pPr>
            <w:r>
              <w:rPr>
                <w:sz w:val="17"/>
              </w:rPr>
              <w:t>[ ]</w:t>
            </w:r>
          </w:p>
        </w:tc>
      </w:tr>
      <w:tr>
        <w:tc>
          <w:tcPr>
            <w:tcW w:type="dxa" w:w="3312"/>
            <w:vAlign w:val="top"/>
          </w:tcPr>
          <w:p>
            <w:pPr>
              <w:spacing w:after="0"/>
            </w:pPr>
            <w:r>
              <w:rPr>
                <w:sz w:val="17"/>
              </w:rPr>
              <w:t>Technical compatibility</w:t>
            </w:r>
          </w:p>
        </w:tc>
        <w:tc>
          <w:tcPr>
            <w:tcW w:type="dxa" w:w="1440"/>
            <w:vAlign w:val="top"/>
          </w:tcPr>
          <w:p>
            <w:pPr>
              <w:spacing w:after="0"/>
            </w:pPr>
            <w:r>
              <w:rPr>
                <w:sz w:val="17"/>
              </w:rPr>
              <w:t>[ ]</w:t>
            </w:r>
          </w:p>
        </w:tc>
        <w:tc>
          <w:tcPr>
            <w:tcW w:type="dxa" w:w="4752"/>
            <w:vAlign w:val="top"/>
          </w:tcPr>
          <w:p>
            <w:pPr>
              <w:spacing w:after="0"/>
            </w:pPr>
            <w:r>
              <w:rPr>
                <w:sz w:val="17"/>
              </w:rPr>
              <w:t>[ ]</w:t>
            </w:r>
          </w:p>
        </w:tc>
      </w:tr>
      <w:tr>
        <w:tc>
          <w:tcPr>
            <w:tcW w:type="dxa" w:w="3312"/>
            <w:vAlign w:val="top"/>
            <w:shd w:fill="F7FAFC"/>
          </w:tcPr>
          <w:p>
            <w:pPr>
              <w:spacing w:after="0"/>
            </w:pPr>
            <w:r>
              <w:rPr>
                <w:sz w:val="17"/>
              </w:rPr>
              <w:t>Client readiness</w:t>
            </w:r>
          </w:p>
        </w:tc>
        <w:tc>
          <w:tcPr>
            <w:tcW w:type="dxa" w:w="1440"/>
            <w:vAlign w:val="top"/>
            <w:shd w:fill="F7FAFC"/>
          </w:tcPr>
          <w:p>
            <w:pPr>
              <w:spacing w:after="0"/>
            </w:pPr>
            <w:r>
              <w:rPr>
                <w:sz w:val="17"/>
              </w:rPr>
              <w:t>[ ]</w:t>
            </w:r>
          </w:p>
        </w:tc>
        <w:tc>
          <w:tcPr>
            <w:tcW w:type="dxa" w:w="4752"/>
            <w:vAlign w:val="top"/>
            <w:shd w:fill="F7FAFC"/>
          </w:tcPr>
          <w:p>
            <w:pPr>
              <w:spacing w:after="0"/>
            </w:pPr>
            <w:r>
              <w:rPr>
                <w:sz w:val="17"/>
              </w:rPr>
              <w:t>[ ]</w:t>
            </w:r>
          </w:p>
        </w:tc>
      </w:tr>
    </w:tbl>
    <w:p/>
    <w:p>
      <w:pPr>
        <w:pStyle w:val="Heading1"/>
      </w:pPr>
      <w:r>
        <w:t>Campaign Build Checklist</w:t>
      </w:r>
    </w:p>
    <w:p>
      <w:r>
        <w:t>[ ] Create or select the correct client campaign.</w:t>
      </w:r>
    </w:p>
    <w:p>
      <w:r>
        <w:t>[ ] Use a clear internal campaign name.</w:t>
      </w:r>
    </w:p>
    <w:p>
      <w:r>
        <w:t>[ ] Add only approved domains.</w:t>
      </w:r>
    </w:p>
    <w:p>
      <w:r>
        <w:t>[ ] Create each approved ad variation.</w:t>
      </w:r>
    </w:p>
    <w:p>
      <w:r>
        <w:t>[ ] Confirm headline, supporting text, CTA, destination URL, and open-in-new-tab choice.</w:t>
      </w:r>
    </w:p>
    <w:p>
      <w:r>
        <w:t>[ ] Confirm regular-ad or image-only format.</w:t>
      </w:r>
    </w:p>
    <w:p>
      <w:r>
        <w:t>[ ] Check image dimensions and readability.</w:t>
      </w:r>
    </w:p>
    <w:p>
      <w:r>
        <w:t>[ ] Confirm color contrast and mobile readability.</w:t>
      </w:r>
    </w:p>
    <w:p>
      <w:r>
        <w:t>[ ] Confirm ad status and rotation settings.</w:t>
      </w:r>
    </w:p>
    <w:p>
      <w:r>
        <w:t>[ ] Generate the correct standard embed or hosted player.</w:t>
      </w:r>
    </w:p>
    <w:p>
      <w:r>
        <w:t>[ ] Name hosted players clearly when used.</w:t>
      </w:r>
    </w:p>
    <w:p>
      <w:r>
        <w:t>[ ] Save a copy of the approved campaign brief.</w:t>
      </w:r>
    </w:p>
    <w:p>
      <w:pPr>
        <w:pStyle w:val="Heading1"/>
      </w:pPr>
      <w:r>
        <w:t>Installation Checklist</w:t>
      </w:r>
    </w:p>
    <w:p>
      <w:r>
        <w:t>[ ] Back up or copy the original page code before editing.</w:t>
      </w:r>
    </w:p>
    <w:p>
      <w:r>
        <w:t>[ ] Install on a staging or duplicate page when available.</w:t>
      </w:r>
    </w:p>
    <w:p>
      <w:r>
        <w:t>[ ] Use the correct video selector, ID, code block, or hosted iframe.</w:t>
      </w:r>
    </w:p>
    <w:p>
      <w:r>
        <w:t>[ ] Confirm responsive sizing.</w:t>
      </w:r>
    </w:p>
    <w:p>
      <w:r>
        <w:t>[ ] Confirm fullscreen permission is included for hosted iframes.</w:t>
      </w:r>
    </w:p>
    <w:p>
      <w:r>
        <w:t>[ ] Confirm the client domain is approved.</w:t>
      </w:r>
    </w:p>
    <w:p>
      <w:r>
        <w:t>[ ] Publish the page and clear relevant cache layers.</w:t>
      </w:r>
    </w:p>
    <w:p>
      <w:r>
        <w:t>[ ] Record the final live URL and install method.</w:t>
      </w:r>
    </w:p>
    <w:p>
      <w:pPr>
        <w:pStyle w:val="Heading1"/>
      </w:pPr>
      <w:r>
        <w:t>Quality-Assurance Checklist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5083"/>
        <w:gridCol w:w="5083"/>
      </w:tblGrid>
      <w:tr>
        <w:tc>
          <w:tcPr>
            <w:tcW w:type="dxa" w:w="2232"/>
            <w:shd w:fill="0B1F3A"/>
            <w:vAlign w:val="center"/>
          </w:tcPr>
          <w:p>
            <w:pPr>
              <w:jc w:val="center"/>
            </w:pPr>
            <w:r>
              <w:rPr>
                <w:b/>
                <w:color w:val="FFFFFF"/>
                <w:sz w:val="18"/>
              </w:rPr>
              <w:t>Test Area</w:t>
            </w:r>
          </w:p>
        </w:tc>
        <w:tc>
          <w:tcPr>
            <w:tcW w:type="dxa" w:w="7272"/>
            <w:shd w:fill="0B1F3A"/>
            <w:vAlign w:val="center"/>
          </w:tcPr>
          <w:p>
            <w:pPr>
              <w:jc w:val="center"/>
            </w:pPr>
            <w:r>
              <w:rPr>
                <w:b/>
                <w:color w:val="FFFFFF"/>
                <w:sz w:val="18"/>
              </w:rPr>
              <w:t>Pass Criteria</w:t>
            </w:r>
          </w:p>
        </w:tc>
      </w:tr>
      <w:tr>
        <w:tc>
          <w:tcPr>
            <w:tcW w:type="dxa" w:w="2232"/>
            <w:vAlign w:val="top"/>
          </w:tcPr>
          <w:p>
            <w:pPr>
              <w:spacing w:after="0"/>
            </w:pPr>
            <w:r>
              <w:rPr>
                <w:sz w:val="17"/>
              </w:rPr>
              <w:t>Desktop</w:t>
            </w:r>
          </w:p>
        </w:tc>
        <w:tc>
          <w:tcPr>
            <w:tcW w:type="dxa" w:w="7272"/>
            <w:vAlign w:val="top"/>
          </w:tcPr>
          <w:p>
            <w:pPr>
              <w:spacing w:after="0"/>
            </w:pPr>
            <w:r>
              <w:rPr>
                <w:sz w:val="17"/>
              </w:rPr>
              <w:t>Video loads; play and pause work; overlay appears; ad content is readable; CTA opens the correct destination; resume works; close behavior works; statistics register.</w:t>
            </w:r>
          </w:p>
        </w:tc>
      </w:tr>
      <w:tr>
        <w:tc>
          <w:tcPr>
            <w:tcW w:type="dxa" w:w="2232"/>
            <w:vAlign w:val="top"/>
            <w:shd w:fill="F7FAFC"/>
          </w:tcPr>
          <w:p>
            <w:pPr>
              <w:spacing w:after="0"/>
            </w:pPr>
            <w:r>
              <w:rPr>
                <w:sz w:val="17"/>
              </w:rPr>
              <w:t>Phone portrait</w:t>
            </w:r>
          </w:p>
        </w:tc>
        <w:tc>
          <w:tcPr>
            <w:tcW w:type="dxa" w:w="7272"/>
            <w:vAlign w:val="top"/>
            <w:shd w:fill="F7FAFC"/>
          </w:tcPr>
          <w:p>
            <w:pPr>
              <w:spacing w:after="0"/>
            </w:pPr>
            <w:r>
              <w:rPr>
                <w:sz w:val="17"/>
              </w:rPr>
              <w:t>Expected mobile policy is followed; regular ad layout is readable; image-only ad displays correctly; CTA and resume controls are usable.</w:t>
            </w:r>
          </w:p>
        </w:tc>
      </w:tr>
      <w:tr>
        <w:tc>
          <w:tcPr>
            <w:tcW w:type="dxa" w:w="2232"/>
            <w:vAlign w:val="top"/>
          </w:tcPr>
          <w:p>
            <w:pPr>
              <w:spacing w:after="0"/>
            </w:pPr>
            <w:r>
              <w:rPr>
                <w:sz w:val="17"/>
              </w:rPr>
              <w:t>Phone landscape/fullscreen</w:t>
            </w:r>
          </w:p>
        </w:tc>
        <w:tc>
          <w:tcPr>
            <w:tcW w:type="dxa" w:w="7272"/>
            <w:vAlign w:val="top"/>
          </w:tcPr>
          <w:p>
            <w:pPr>
              <w:spacing w:after="0"/>
            </w:pPr>
            <w:r>
              <w:rPr>
                <w:sz w:val="17"/>
              </w:rPr>
              <w:t>Overlay fits; controls remain usable; exiting fullscreen returns to the correct page or iframe position.</w:t>
            </w:r>
          </w:p>
        </w:tc>
      </w:tr>
      <w:tr>
        <w:tc>
          <w:tcPr>
            <w:tcW w:type="dxa" w:w="2232"/>
            <w:vAlign w:val="top"/>
            <w:shd w:fill="F7FAFC"/>
          </w:tcPr>
          <w:p>
            <w:pPr>
              <w:spacing w:after="0"/>
            </w:pPr>
            <w:r>
              <w:rPr>
                <w:sz w:val="17"/>
              </w:rPr>
              <w:t>Multiple videos</w:t>
            </w:r>
          </w:p>
        </w:tc>
        <w:tc>
          <w:tcPr>
            <w:tcW w:type="dxa" w:w="7272"/>
            <w:vAlign w:val="top"/>
            <w:shd w:fill="F7FAFC"/>
          </w:tcPr>
          <w:p>
            <w:pPr>
              <w:spacing w:after="0"/>
            </w:pPr>
            <w:r>
              <w:rPr>
                <w:sz w:val="17"/>
              </w:rPr>
              <w:t>Each video triggers only its assigned campaign; one video does not pause, resume, or display ads on another video.</w:t>
            </w:r>
          </w:p>
        </w:tc>
      </w:tr>
      <w:tr>
        <w:tc>
          <w:tcPr>
            <w:tcW w:type="dxa" w:w="2232"/>
            <w:vAlign w:val="top"/>
          </w:tcPr>
          <w:p>
            <w:pPr>
              <w:spacing w:after="0"/>
            </w:pPr>
            <w:r>
              <w:rPr>
                <w:sz w:val="17"/>
              </w:rPr>
              <w:t>Hosted player</w:t>
            </w:r>
          </w:p>
        </w:tc>
        <w:tc>
          <w:tcPr>
            <w:tcW w:type="dxa" w:w="7272"/>
            <w:vAlign w:val="top"/>
          </w:tcPr>
          <w:p>
            <w:pPr>
              <w:spacing w:after="0"/>
            </w:pPr>
            <w:r>
              <w:rPr>
                <w:sz w:val="17"/>
              </w:rPr>
              <w:t>Iframe loads; fullscreen permission works; exit returns correctly; page-builder restrictions do not block playback.</w:t>
            </w:r>
          </w:p>
        </w:tc>
      </w:tr>
      <w:tr>
        <w:tc>
          <w:tcPr>
            <w:tcW w:type="dxa" w:w="2232"/>
            <w:vAlign w:val="top"/>
            <w:shd w:fill="F7FAFC"/>
          </w:tcPr>
          <w:p>
            <w:pPr>
              <w:spacing w:after="0"/>
            </w:pPr>
            <w:r>
              <w:rPr>
                <w:sz w:val="17"/>
              </w:rPr>
              <w:t>Links and tracking</w:t>
            </w:r>
          </w:p>
        </w:tc>
        <w:tc>
          <w:tcPr>
            <w:tcW w:type="dxa" w:w="7272"/>
            <w:vAlign w:val="top"/>
            <w:shd w:fill="F7FAFC"/>
          </w:tcPr>
          <w:p>
            <w:pPr>
              <w:spacing w:after="0"/>
            </w:pPr>
            <w:r>
              <w:rPr>
                <w:sz w:val="17"/>
              </w:rPr>
              <w:t>All destination URLs are correct; new-tab behavior is correct; overlay displays, clicks, and CTR populate as expected.</w:t>
            </w:r>
          </w:p>
        </w:tc>
      </w:tr>
      <w:tr>
        <w:tc>
          <w:tcPr>
            <w:tcW w:type="dxa" w:w="2232"/>
            <w:vAlign w:val="top"/>
          </w:tcPr>
          <w:p>
            <w:pPr>
              <w:spacing w:after="0"/>
            </w:pPr>
            <w:r>
              <w:rPr>
                <w:sz w:val="17"/>
              </w:rPr>
              <w:t>Client review</w:t>
            </w:r>
          </w:p>
        </w:tc>
        <w:tc>
          <w:tcPr>
            <w:tcW w:type="dxa" w:w="7272"/>
            <w:vAlign w:val="top"/>
          </w:tcPr>
          <w:p>
            <w:pPr>
              <w:spacing w:after="0"/>
            </w:pPr>
            <w:r>
              <w:rPr>
                <w:sz w:val="17"/>
              </w:rPr>
              <w:t>Client approves copy, creative, links, and live behavior in writing.</w:t>
            </w:r>
          </w:p>
        </w:tc>
      </w:tr>
    </w:tbl>
    <w:p/>
    <w:p>
      <w:pPr>
        <w:pStyle w:val="Heading1"/>
      </w:pPr>
      <w:r>
        <w:t>Launch Record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5083"/>
        <w:gridCol w:w="5083"/>
      </w:tblGrid>
      <w:tr>
        <w:tc>
          <w:tcPr>
            <w:tcW w:type="dxa" w:w="3024"/>
            <w:shd w:fill="0B1F3A"/>
            <w:vAlign w:val="center"/>
          </w:tcPr>
          <w:p>
            <w:pPr>
              <w:jc w:val="center"/>
            </w:pPr>
            <w:r>
              <w:rPr>
                <w:b/>
                <w:color w:val="FFFFFF"/>
                <w:sz w:val="18"/>
              </w:rPr>
              <w:t>Field</w:t>
            </w:r>
          </w:p>
        </w:tc>
        <w:tc>
          <w:tcPr>
            <w:tcW w:type="dxa" w:w="6480"/>
            <w:shd w:fill="0B1F3A"/>
            <w:vAlign w:val="center"/>
          </w:tcPr>
          <w:p>
            <w:pPr>
              <w:jc w:val="center"/>
            </w:pPr>
            <w:r>
              <w:rPr>
                <w:b/>
                <w:color w:val="FFFFFF"/>
                <w:sz w:val="18"/>
              </w:rPr>
              <w:t>Final Detail</w:t>
            </w:r>
          </w:p>
        </w:tc>
      </w:tr>
      <w:tr>
        <w:tc>
          <w:tcPr>
            <w:tcW w:type="dxa" w:w="3024"/>
            <w:vAlign w:val="top"/>
          </w:tcPr>
          <w:p>
            <w:pPr>
              <w:spacing w:after="0"/>
            </w:pPr>
            <w:r>
              <w:rPr>
                <w:sz w:val="17"/>
              </w:rPr>
              <w:t>Client</w:t>
            </w:r>
          </w:p>
        </w:tc>
        <w:tc>
          <w:tcPr>
            <w:tcW w:type="dxa" w:w="6480"/>
            <w:vAlign w:val="top"/>
          </w:tcPr>
          <w:p>
            <w:pPr>
              <w:spacing w:after="0"/>
            </w:pPr>
            <w:r>
              <w:rPr>
                <w:sz w:val="17"/>
              </w:rPr>
              <w:t>[ ]</w:t>
            </w:r>
          </w:p>
        </w:tc>
      </w:tr>
      <w:tr>
        <w:tc>
          <w:tcPr>
            <w:tcW w:type="dxa" w:w="3024"/>
            <w:vAlign w:val="top"/>
            <w:shd w:fill="F7FAFC"/>
          </w:tcPr>
          <w:p>
            <w:pPr>
              <w:spacing w:after="0"/>
            </w:pPr>
            <w:r>
              <w:rPr>
                <w:sz w:val="17"/>
              </w:rPr>
              <w:t>Campaign</w:t>
            </w:r>
          </w:p>
        </w:tc>
        <w:tc>
          <w:tcPr>
            <w:tcW w:type="dxa" w:w="6480"/>
            <w:vAlign w:val="top"/>
            <w:shd w:fill="F7FAFC"/>
          </w:tcPr>
          <w:p>
            <w:pPr>
              <w:spacing w:after="0"/>
            </w:pPr>
            <w:r>
              <w:rPr>
                <w:sz w:val="17"/>
              </w:rPr>
              <w:t>[ ]</w:t>
            </w:r>
          </w:p>
        </w:tc>
      </w:tr>
      <w:tr>
        <w:tc>
          <w:tcPr>
            <w:tcW w:type="dxa" w:w="3024"/>
            <w:vAlign w:val="top"/>
          </w:tcPr>
          <w:p>
            <w:pPr>
              <w:spacing w:after="0"/>
            </w:pPr>
            <w:r>
              <w:rPr>
                <w:sz w:val="17"/>
              </w:rPr>
              <w:t>Live URL</w:t>
            </w:r>
          </w:p>
        </w:tc>
        <w:tc>
          <w:tcPr>
            <w:tcW w:type="dxa" w:w="6480"/>
            <w:vAlign w:val="top"/>
          </w:tcPr>
          <w:p>
            <w:pPr>
              <w:spacing w:after="0"/>
            </w:pPr>
            <w:r>
              <w:rPr>
                <w:sz w:val="17"/>
              </w:rPr>
              <w:t>[ ]</w:t>
            </w:r>
          </w:p>
        </w:tc>
      </w:tr>
      <w:tr>
        <w:tc>
          <w:tcPr>
            <w:tcW w:type="dxa" w:w="3024"/>
            <w:vAlign w:val="top"/>
            <w:shd w:fill="F7FAFC"/>
          </w:tcPr>
          <w:p>
            <w:pPr>
              <w:spacing w:after="0"/>
            </w:pPr>
            <w:r>
              <w:rPr>
                <w:sz w:val="17"/>
              </w:rPr>
              <w:t>Video platform</w:t>
            </w:r>
          </w:p>
        </w:tc>
        <w:tc>
          <w:tcPr>
            <w:tcW w:type="dxa" w:w="6480"/>
            <w:vAlign w:val="top"/>
            <w:shd w:fill="F7FAFC"/>
          </w:tcPr>
          <w:p>
            <w:pPr>
              <w:spacing w:after="0"/>
            </w:pPr>
            <w:r>
              <w:rPr>
                <w:sz w:val="17"/>
              </w:rPr>
              <w:t>[ ]</w:t>
            </w:r>
          </w:p>
        </w:tc>
      </w:tr>
      <w:tr>
        <w:tc>
          <w:tcPr>
            <w:tcW w:type="dxa" w:w="3024"/>
            <w:vAlign w:val="top"/>
          </w:tcPr>
          <w:p>
            <w:pPr>
              <w:spacing w:after="0"/>
            </w:pPr>
            <w:r>
              <w:rPr>
                <w:sz w:val="17"/>
              </w:rPr>
              <w:t>Install method</w:t>
            </w:r>
          </w:p>
        </w:tc>
        <w:tc>
          <w:tcPr>
            <w:tcW w:type="dxa" w:w="6480"/>
            <w:vAlign w:val="top"/>
          </w:tcPr>
          <w:p>
            <w:pPr>
              <w:spacing w:after="0"/>
            </w:pPr>
            <w:r>
              <w:rPr>
                <w:sz w:val="17"/>
              </w:rPr>
              <w:t>[ ]</w:t>
            </w:r>
          </w:p>
        </w:tc>
      </w:tr>
      <w:tr>
        <w:tc>
          <w:tcPr>
            <w:tcW w:type="dxa" w:w="3024"/>
            <w:vAlign w:val="top"/>
            <w:shd w:fill="F7FAFC"/>
          </w:tcPr>
          <w:p>
            <w:pPr>
              <w:spacing w:after="0"/>
            </w:pPr>
            <w:r>
              <w:rPr>
                <w:sz w:val="17"/>
              </w:rPr>
              <w:t>Approved domain</w:t>
            </w:r>
          </w:p>
        </w:tc>
        <w:tc>
          <w:tcPr>
            <w:tcW w:type="dxa" w:w="6480"/>
            <w:vAlign w:val="top"/>
            <w:shd w:fill="F7FAFC"/>
          </w:tcPr>
          <w:p>
            <w:pPr>
              <w:spacing w:after="0"/>
            </w:pPr>
            <w:r>
              <w:rPr>
                <w:sz w:val="17"/>
              </w:rPr>
              <w:t>[ ]</w:t>
            </w:r>
          </w:p>
        </w:tc>
      </w:tr>
      <w:tr>
        <w:tc>
          <w:tcPr>
            <w:tcW w:type="dxa" w:w="3024"/>
            <w:vAlign w:val="top"/>
          </w:tcPr>
          <w:p>
            <w:pPr>
              <w:spacing w:after="0"/>
            </w:pPr>
            <w:r>
              <w:rPr>
                <w:sz w:val="17"/>
              </w:rPr>
              <w:t>Launch date</w:t>
            </w:r>
          </w:p>
        </w:tc>
        <w:tc>
          <w:tcPr>
            <w:tcW w:type="dxa" w:w="6480"/>
            <w:vAlign w:val="top"/>
          </w:tcPr>
          <w:p>
            <w:pPr>
              <w:spacing w:after="0"/>
            </w:pPr>
            <w:r>
              <w:rPr>
                <w:sz w:val="17"/>
              </w:rPr>
              <w:t>[ ]</w:t>
            </w:r>
          </w:p>
        </w:tc>
      </w:tr>
      <w:tr>
        <w:tc>
          <w:tcPr>
            <w:tcW w:type="dxa" w:w="3024"/>
            <w:vAlign w:val="top"/>
            <w:shd w:fill="F7FAFC"/>
          </w:tcPr>
          <w:p>
            <w:pPr>
              <w:spacing w:after="0"/>
            </w:pPr>
            <w:r>
              <w:rPr>
                <w:sz w:val="17"/>
              </w:rPr>
              <w:t>Starting ads</w:t>
            </w:r>
          </w:p>
        </w:tc>
        <w:tc>
          <w:tcPr>
            <w:tcW w:type="dxa" w:w="6480"/>
            <w:vAlign w:val="top"/>
            <w:shd w:fill="F7FAFC"/>
          </w:tcPr>
          <w:p>
            <w:pPr>
              <w:spacing w:after="0"/>
            </w:pPr>
            <w:r>
              <w:rPr>
                <w:sz w:val="17"/>
              </w:rPr>
              <w:t>[ ]</w:t>
            </w:r>
          </w:p>
        </w:tc>
      </w:tr>
      <w:tr>
        <w:tc>
          <w:tcPr>
            <w:tcW w:type="dxa" w:w="3024"/>
            <w:vAlign w:val="top"/>
          </w:tcPr>
          <w:p>
            <w:pPr>
              <w:spacing w:after="0"/>
            </w:pPr>
            <w:r>
              <w:rPr>
                <w:sz w:val="17"/>
              </w:rPr>
              <w:t>Client approval received</w:t>
            </w:r>
          </w:p>
        </w:tc>
        <w:tc>
          <w:tcPr>
            <w:tcW w:type="dxa" w:w="6480"/>
            <w:vAlign w:val="top"/>
          </w:tcPr>
          <w:p>
            <w:pPr>
              <w:spacing w:after="0"/>
            </w:pPr>
            <w:r>
              <w:rPr>
                <w:sz w:val="17"/>
              </w:rPr>
              <w:t>[ ]</w:t>
            </w:r>
          </w:p>
        </w:tc>
      </w:tr>
      <w:tr>
        <w:tc>
          <w:tcPr>
            <w:tcW w:type="dxa" w:w="3024"/>
            <w:vAlign w:val="top"/>
            <w:shd w:fill="F7FAFC"/>
          </w:tcPr>
          <w:p>
            <w:pPr>
              <w:spacing w:after="0"/>
            </w:pPr>
            <w:r>
              <w:rPr>
                <w:sz w:val="17"/>
              </w:rPr>
              <w:t>Next review date</w:t>
            </w:r>
          </w:p>
        </w:tc>
        <w:tc>
          <w:tcPr>
            <w:tcW w:type="dxa" w:w="6480"/>
            <w:vAlign w:val="top"/>
            <w:shd w:fill="F7FAFC"/>
          </w:tcPr>
          <w:p>
            <w:pPr>
              <w:spacing w:after="0"/>
            </w:pPr>
            <w:r>
              <w:rPr>
                <w:sz w:val="17"/>
              </w:rPr>
              <w:t>[ ]</w:t>
            </w:r>
          </w:p>
        </w:tc>
      </w:tr>
    </w:tbl>
    <w:p/>
    <w:p>
      <w:pPr>
        <w:pStyle w:val="Heading1"/>
      </w:pPr>
      <w:r>
        <w:t>Monthly Maintenance Checklist</w:t>
      </w:r>
    </w:p>
    <w:p>
      <w:r>
        <w:t>[ ] Record overlay displays, clicks, and CTR for the reporting period.</w:t>
      </w:r>
    </w:p>
    <w:p>
      <w:r>
        <w:t>[ ] Identify the highest-clicked ad and strongest CTR.</w:t>
      </w:r>
    </w:p>
    <w:p>
      <w:r>
        <w:t>[ ] Check destination URLs and offers.</w:t>
      </w:r>
    </w:p>
    <w:p>
      <w:r>
        <w:t>[ ] Review any client page or video changes.</w:t>
      </w:r>
    </w:p>
    <w:p>
      <w:r>
        <w:t>[ ] Pause outdated ads.</w:t>
      </w:r>
    </w:p>
    <w:p>
      <w:r>
        <w:t>[ ] Refresh copy or creative within the package allowance.</w:t>
      </w:r>
    </w:p>
    <w:p>
      <w:r>
        <w:t>[ ] Test the live page after every change.</w:t>
      </w:r>
    </w:p>
    <w:p>
      <w:r>
        <w:t>[ ] Send the client report and record the next action.</w:t>
      </w:r>
    </w:p>
    <w:sectPr w:rsidR="00FC693F" w:rsidRPr="0006063C" w:rsidSect="00034616">
      <w:footerReference w:type="default" r:id="rId10"/>
      <w:pgSz w:w="12240" w:h="15840"/>
      <w:pgMar w:top="893" w:right="1037" w:bottom="893" w:left="103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PAPSmall"/>
      <w:jc w:val="center"/>
    </w:pPr>
    <w:r>
      <w:t xml:space="preserve">Pause Ad Profits Client Profit Kit  |  </w:t>
    </w:r>
    <w:r>
      <w:t xml:space="preserve">Page </w:t>
      <w:fldChar w:fldCharType="begin"/>
      <w:instrText xml:space="preserve">PAGE</w:instrText>
      <w:fldChar w:fldCharType="end"/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Liberation Sans" w:hAnsi="Liberation Sans" w:eastAsia="Liberation Sans"/>
      <w:sz w:val="20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Liberation Sans" w:hAnsi="Liberation Sans" w:eastAsia="Liberation Sans"/>
      <w:b/>
      <w:bCs/>
      <w:color w:val="0B1F3A"/>
      <w:sz w:val="3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Liberation Sans" w:hAnsi="Liberation Sans" w:eastAsia="Liberation Sans"/>
      <w:b/>
      <w:bCs/>
      <w:color w:val="1473E6"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Liberation Sans" w:hAnsi="Liberation Sans" w:eastAsia="Liberation Sans"/>
      <w:b/>
      <w:bCs/>
      <w:color w:val="F59E0B"/>
      <w:sz w:val="2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 w:ascii="Liberation Sans" w:hAnsi="Liberation Sans" w:eastAsia="Liberation Sans"/>
      <w:b/>
      <w:color w:val="0B1F3A"/>
      <w:spacing w:val="5"/>
      <w:kern w:val="28"/>
      <w:sz w:val="56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PAPCallout">
    <w:name w:val="PAP Callout"/>
    <w:pPr>
      <w:spacing w:before="120" w:after="120"/>
      <w:ind w:left="173" w:right="173"/>
    </w:pPr>
    <w:rPr>
      <w:rFonts w:ascii="Liberation Sans" w:hAnsi="Liberation Sans"/>
      <w:color w:val="1D2939"/>
      <w:sz w:val="20"/>
    </w:rPr>
  </w:style>
  <w:style w:type="paragraph" w:customStyle="1" w:styleId="PAPSmall">
    <w:name w:val="PAP Small"/>
    <w:rPr>
      <w:rFonts w:ascii="Liberation Sans" w:hAnsi="Liberation Sans"/>
      <w:color w:val="667085"/>
      <w:sz w:val="16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Video Audit, Campaign Setup &amp; QA Checklists</dc:title>
  <dc:subject/>
  <dc:creator>Profit Tool Hub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