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drawing>
          <wp:inline xmlns:a="http://schemas.openxmlformats.org/drawingml/2006/main" xmlns:pic="http://schemas.openxmlformats.org/drawingml/2006/picture">
            <wp:extent cx="4800600" cy="821436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pause-ad-profits-logo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82143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pStyle w:val="Title"/>
        <w:jc w:val="center"/>
      </w:pPr>
      <w:r>
        <w:t>Client Service Packages &amp; Pricing Guide</w:t>
      </w:r>
    </w:p>
    <w:p>
      <w:pPr>
        <w:jc w:val="center"/>
      </w:pPr>
      <w:r>
        <w:rPr>
          <w:b/>
          <w:color w:val="1473E6"/>
          <w:sz w:val="24"/>
        </w:rPr>
        <w:t>Package PAP services clearly, price the work, and prevent scope creep</w:t>
      </w:r>
    </w:p>
    <w:p>
      <w:pPr>
        <w:jc w:val="center"/>
      </w:pPr>
      <w:r>
        <w:rPr>
          <w:b/>
          <w:color w:val="F59E0B"/>
          <w:sz w:val="18"/>
        </w:rPr>
        <w:t>PAP CLIENT PROFIT KIT</w:t>
      </w:r>
    </w:p>
    <w:p/>
    <w:p>
      <w:pPr>
        <w:pStyle w:val="Heading1"/>
      </w:pPr>
      <w:r>
        <w:t>How to Price PAP Services</w:t>
      </w:r>
    </w:p>
    <w:p>
      <w:r>
        <w:t>Price the complete result and workload, not just the number of minutes required to click buttons. A PAP project may include strategy, copywriting, graphics, video-platform troubleshooting, page-builder installation, testing, revisions, reporting, and client communication.</w:t>
      </w:r>
    </w:p>
    <w:p>
      <w:pPr>
        <w:pStyle w:val="Heading2"/>
      </w:pPr>
      <w:r>
        <w:t>Four Suggested Service Packages</w:t>
      </w:r>
    </w:p>
    <w:p>
      <w:pPr>
        <w:pStyle w:val="Heading2"/>
      </w:pPr>
      <w:r>
        <w:t>PAP Starter Setup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008"/>
      </w:tblGrid>
      <w:tr>
        <w:tc>
          <w:tcPr>
            <w:tcW w:type="dxa" w:w="10166"/>
            <w:shd w:fill="EEF4FA"/>
            <w:tcBorders>
              <w:top w:val="single" w:sz="6" w:color="D8E5F2"/>
              <w:left w:val="single" w:sz="6" w:color="D8E5F2"/>
              <w:bottom w:val="single" w:sz="6" w:color="D8E5F2"/>
              <w:right w:val="single" w:sz="6" w:color="D8E5F2"/>
            </w:tcBorders>
          </w:tcPr>
          <w:p>
            <w:pPr>
              <w:pStyle w:val="PAPCallout"/>
            </w:pPr>
            <w:r>
              <w:rPr>
                <w:b/>
                <w:color w:val="0B1F3A"/>
              </w:rPr>
              <w:t>$97-$197 one-time</w:t>
              <w:br/>
            </w:r>
            <w:r>
              <w:t>1 video; 1 campaign; up to 3 ads; client-supplied or lightly edited copy; standard or hosted installation; desktop and phone testing; one revision round; 7 days of post-launch support.</w:t>
            </w:r>
          </w:p>
        </w:tc>
      </w:tr>
    </w:tbl>
    <w:p>
      <w:pPr>
        <w:spacing w:after="0"/>
      </w:pPr>
    </w:p>
    <w:p>
      <w:pPr>
        <w:pStyle w:val="Heading2"/>
      </w:pPr>
      <w:r>
        <w:t>PAP Conversion Boost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008"/>
      </w:tblGrid>
      <w:tr>
        <w:tc>
          <w:tcPr>
            <w:tcW w:type="dxa" w:w="10166"/>
            <w:shd w:fill="EEF4FA"/>
            <w:tcBorders>
              <w:top w:val="single" w:sz="6" w:color="D8E5F2"/>
              <w:left w:val="single" w:sz="6" w:color="D8E5F2"/>
              <w:bottom w:val="single" w:sz="6" w:color="D8E5F2"/>
              <w:right w:val="single" w:sz="6" w:color="D8E5F2"/>
            </w:tcBorders>
          </w:tcPr>
          <w:p>
            <w:pPr>
              <w:pStyle w:val="PAPCallout"/>
            </w:pPr>
            <w:r>
              <w:rPr>
                <w:b/>
                <w:color w:val="0B1F3A"/>
              </w:rPr>
              <w:t>$197-$397 one-time</w:t>
              <w:br/>
            </w:r>
            <w:r>
              <w:t>Up to 3 videos; up to 3 campaigns; up to 9 ads; copy recommendations; up to 3 custom pause-ad graphics; installation; multi-device testing; launch report; two revision rounds; 14 days of support.</w:t>
            </w:r>
          </w:p>
        </w:tc>
      </w:tr>
    </w:tbl>
    <w:p>
      <w:pPr>
        <w:spacing w:after="0"/>
      </w:pPr>
    </w:p>
    <w:p>
      <w:pPr>
        <w:pStyle w:val="Heading2"/>
      </w:pPr>
      <w:r>
        <w:t>Managed PAP Service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008"/>
      </w:tblGrid>
      <w:tr>
        <w:tc>
          <w:tcPr>
            <w:tcW w:type="dxa" w:w="10166"/>
            <w:shd w:fill="EEF4FA"/>
            <w:tcBorders>
              <w:top w:val="single" w:sz="6" w:color="D8E5F2"/>
              <w:left w:val="single" w:sz="6" w:color="D8E5F2"/>
              <w:bottom w:val="single" w:sz="6" w:color="D8E5F2"/>
              <w:right w:val="single" w:sz="6" w:color="D8E5F2"/>
            </w:tcBorders>
          </w:tcPr>
          <w:p>
            <w:pPr>
              <w:pStyle w:val="PAPCallout"/>
            </w:pPr>
            <w:r>
              <w:rPr>
                <w:b/>
                <w:color w:val="0B1F3A"/>
              </w:rPr>
              <w:t>$99-$299 per month</w:t>
              <w:br/>
            </w:r>
            <w:r>
              <w:t>Ongoing campaign monitoring; one monthly ad refresh; performance summary; top-ad review; link checks; one strategy call or written recommendation; defined monthly video and campaign limits.</w:t>
            </w:r>
          </w:p>
        </w:tc>
      </w:tr>
    </w:tbl>
    <w:p>
      <w:pPr>
        <w:spacing w:after="0"/>
      </w:pPr>
    </w:p>
    <w:p>
      <w:pPr>
        <w:pStyle w:val="Heading2"/>
      </w:pPr>
      <w:r>
        <w:t>PAP Agency Growth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008"/>
      </w:tblGrid>
      <w:tr>
        <w:tc>
          <w:tcPr>
            <w:tcW w:type="dxa" w:w="10166"/>
            <w:shd w:fill="EEF4FA"/>
            <w:tcBorders>
              <w:top w:val="single" w:sz="6" w:color="D8E5F2"/>
              <w:left w:val="single" w:sz="6" w:color="D8E5F2"/>
              <w:bottom w:val="single" w:sz="6" w:color="D8E5F2"/>
              <w:right w:val="single" w:sz="6" w:color="D8E5F2"/>
            </w:tcBorders>
          </w:tcPr>
          <w:p>
            <w:pPr>
              <w:pStyle w:val="PAPCallout"/>
            </w:pPr>
            <w:r>
              <w:rPr>
                <w:b/>
                <w:color w:val="0B1F3A"/>
              </w:rPr>
              <w:t>$497-$997 setup + $199-$499 per month</w:t>
              <w:br/>
            </w:r>
            <w:r>
              <w:t>For larger clients: up to 10 videos; structured campaign plan; copy and creative coordination; installation; launch testing; monthly refreshes; reporting; priority response. Quote complex integrations separately.</w:t>
            </w:r>
          </w:p>
        </w:tc>
      </w:tr>
    </w:tbl>
    <w:p>
      <w:pPr>
        <w:spacing w:after="0"/>
      </w:pPr>
    </w:p>
    <w:p>
      <w:pPr>
        <w:pStyle w:val="Heading2"/>
      </w:pPr>
      <w:r>
        <w:t>Useful Add-Ons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89"/>
        <w:gridCol w:w="3389"/>
        <w:gridCol w:w="3389"/>
      </w:tblGrid>
      <w:tr>
        <w:tc>
          <w:tcPr>
            <w:tcW w:type="dxa" w:w="2376"/>
            <w:shd w:fill="0B1F3A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Add-On</w:t>
            </w:r>
          </w:p>
        </w:tc>
        <w:tc>
          <w:tcPr>
            <w:tcW w:type="dxa" w:w="1800"/>
            <w:shd w:fill="0B1F3A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Suggested Range</w:t>
            </w:r>
          </w:p>
        </w:tc>
        <w:tc>
          <w:tcPr>
            <w:tcW w:type="dxa" w:w="4752"/>
            <w:shd w:fill="0B1F3A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When to Use</w:t>
            </w:r>
          </w:p>
        </w:tc>
      </w:tr>
      <w:tr>
        <w:tc>
          <w:tcPr>
            <w:tcW w:type="dxa" w:w="2376"/>
            <w:vAlign w:val="top"/>
          </w:tcPr>
          <w:p>
            <w:pPr>
              <w:spacing w:after="0"/>
            </w:pPr>
            <w:r>
              <w:rPr>
                <w:sz w:val="17"/>
              </w:rPr>
              <w:t>Additional video</w:t>
            </w:r>
          </w:p>
        </w:tc>
        <w:tc>
          <w:tcPr>
            <w:tcW w:type="dxa" w:w="1800"/>
            <w:vAlign w:val="top"/>
          </w:tcPr>
          <w:p>
            <w:pPr>
              <w:spacing w:after="0"/>
            </w:pPr>
            <w:r>
              <w:rPr>
                <w:sz w:val="17"/>
              </w:rPr>
              <w:t>$49-$99</w:t>
            </w:r>
          </w:p>
        </w:tc>
        <w:tc>
          <w:tcPr>
            <w:tcW w:type="dxa" w:w="4752"/>
            <w:vAlign w:val="top"/>
          </w:tcPr>
          <w:p>
            <w:pPr>
              <w:spacing w:after="0"/>
            </w:pPr>
            <w:r>
              <w:rPr>
                <w:sz w:val="17"/>
              </w:rPr>
              <w:t>The client wants another video added outside the package allowance.</w:t>
            </w:r>
          </w:p>
        </w:tc>
      </w:tr>
      <w:tr>
        <w:tc>
          <w:tcPr>
            <w:tcW w:type="dxa" w:w="2376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Custom 800x450 graphic</w:t>
            </w:r>
          </w:p>
        </w:tc>
        <w:tc>
          <w:tcPr>
            <w:tcW w:type="dxa" w:w="1800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$25-$75</w:t>
            </w:r>
          </w:p>
        </w:tc>
        <w:tc>
          <w:tcPr>
            <w:tcW w:type="dxa" w:w="4752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A branded image-only ad or custom creative is required.</w:t>
            </w:r>
          </w:p>
        </w:tc>
      </w:tr>
      <w:tr>
        <w:tc>
          <w:tcPr>
            <w:tcW w:type="dxa" w:w="2376"/>
            <w:vAlign w:val="top"/>
          </w:tcPr>
          <w:p>
            <w:pPr>
              <w:spacing w:after="0"/>
            </w:pPr>
            <w:r>
              <w:rPr>
                <w:sz w:val="17"/>
              </w:rPr>
              <w:t>Copywriting upgrade</w:t>
            </w:r>
          </w:p>
        </w:tc>
        <w:tc>
          <w:tcPr>
            <w:tcW w:type="dxa" w:w="1800"/>
            <w:vAlign w:val="top"/>
          </w:tcPr>
          <w:p>
            <w:pPr>
              <w:spacing w:after="0"/>
            </w:pPr>
            <w:r>
              <w:rPr>
                <w:sz w:val="17"/>
              </w:rPr>
              <w:t>$50-$150</w:t>
            </w:r>
          </w:p>
        </w:tc>
        <w:tc>
          <w:tcPr>
            <w:tcW w:type="dxa" w:w="4752"/>
            <w:vAlign w:val="top"/>
          </w:tcPr>
          <w:p>
            <w:pPr>
              <w:spacing w:after="0"/>
            </w:pPr>
            <w:r>
              <w:rPr>
                <w:sz w:val="17"/>
              </w:rPr>
              <w:t>You are writing the full ad message rather than editing client copy.</w:t>
            </w:r>
          </w:p>
        </w:tc>
      </w:tr>
      <w:tr>
        <w:tc>
          <w:tcPr>
            <w:tcW w:type="dxa" w:w="2376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Rush delivery</w:t>
            </w:r>
          </w:p>
        </w:tc>
        <w:tc>
          <w:tcPr>
            <w:tcW w:type="dxa" w:w="1800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$50-$150</w:t>
            </w:r>
          </w:p>
        </w:tc>
        <w:tc>
          <w:tcPr>
            <w:tcW w:type="dxa" w:w="4752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The client requests a shorter delivery timeline.</w:t>
            </w:r>
          </w:p>
        </w:tc>
      </w:tr>
      <w:tr>
        <w:tc>
          <w:tcPr>
            <w:tcW w:type="dxa" w:w="2376"/>
            <w:vAlign w:val="top"/>
          </w:tcPr>
          <w:p>
            <w:pPr>
              <w:spacing w:after="0"/>
            </w:pPr>
            <w:r>
              <w:rPr>
                <w:sz w:val="17"/>
              </w:rPr>
              <w:t>Monthly report only</w:t>
            </w:r>
          </w:p>
        </w:tc>
        <w:tc>
          <w:tcPr>
            <w:tcW w:type="dxa" w:w="1800"/>
            <w:vAlign w:val="top"/>
          </w:tcPr>
          <w:p>
            <w:pPr>
              <w:spacing w:after="0"/>
            </w:pPr>
            <w:r>
              <w:rPr>
                <w:sz w:val="17"/>
              </w:rPr>
              <w:t>$25-$75/month</w:t>
            </w:r>
          </w:p>
        </w:tc>
        <w:tc>
          <w:tcPr>
            <w:tcW w:type="dxa" w:w="4752"/>
            <w:vAlign w:val="top"/>
          </w:tcPr>
          <w:p>
            <w:pPr>
              <w:spacing w:after="0"/>
            </w:pPr>
            <w:r>
              <w:rPr>
                <w:sz w:val="17"/>
              </w:rPr>
              <w:t>The client wants recurring reporting without frequent creative changes.</w:t>
            </w:r>
          </w:p>
        </w:tc>
      </w:tr>
      <w:tr>
        <w:tc>
          <w:tcPr>
            <w:tcW w:type="dxa" w:w="2376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Extra revision round</w:t>
            </w:r>
          </w:p>
        </w:tc>
        <w:tc>
          <w:tcPr>
            <w:tcW w:type="dxa" w:w="1800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$35-$100</w:t>
            </w:r>
          </w:p>
        </w:tc>
        <w:tc>
          <w:tcPr>
            <w:tcW w:type="dxa" w:w="4752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The included revision allowance has been used.</w:t>
            </w:r>
          </w:p>
        </w:tc>
      </w:tr>
      <w:tr>
        <w:tc>
          <w:tcPr>
            <w:tcW w:type="dxa" w:w="2376"/>
            <w:vAlign w:val="top"/>
          </w:tcPr>
          <w:p>
            <w:pPr>
              <w:spacing w:after="0"/>
            </w:pPr>
            <w:r>
              <w:rPr>
                <w:sz w:val="17"/>
              </w:rPr>
              <w:t>Technical troubleshooting</w:t>
            </w:r>
          </w:p>
        </w:tc>
        <w:tc>
          <w:tcPr>
            <w:tcW w:type="dxa" w:w="1800"/>
            <w:vAlign w:val="top"/>
          </w:tcPr>
          <w:p>
            <w:pPr>
              <w:spacing w:after="0"/>
            </w:pPr>
            <w:r>
              <w:rPr>
                <w:sz w:val="17"/>
              </w:rPr>
              <w:t>Hourly or quoted</w:t>
            </w:r>
          </w:p>
        </w:tc>
        <w:tc>
          <w:tcPr>
            <w:tcW w:type="dxa" w:w="4752"/>
            <w:vAlign w:val="top"/>
          </w:tcPr>
          <w:p>
            <w:pPr>
              <w:spacing w:after="0"/>
            </w:pPr>
            <w:r>
              <w:rPr>
                <w:sz w:val="17"/>
              </w:rPr>
              <w:t>The page builder, theme, custom code, or third-party player needs work beyond normal PAP setup.</w:t>
            </w:r>
          </w:p>
        </w:tc>
      </w:tr>
    </w:tbl>
    <w:p/>
    <w:p>
      <w:pPr>
        <w:pStyle w:val="Heading1"/>
      </w:pPr>
      <w:r>
        <w:t>A Simple Pricing Formula</w:t>
      </w:r>
    </w:p>
    <w:p>
      <w:r>
        <w:t>Use the included Pricing Calculator workbook or estimate your quote with this framework: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008"/>
      </w:tblGrid>
      <w:tr>
        <w:tc>
          <w:tcPr>
            <w:tcW w:type="dxa" w:w="10166"/>
            <w:shd w:fill="EEF4FA"/>
            <w:tcBorders>
              <w:top w:val="single" w:sz="6" w:color="D8E5F2"/>
              <w:left w:val="single" w:sz="6" w:color="D8E5F2"/>
              <w:bottom w:val="single" w:sz="6" w:color="D8E5F2"/>
              <w:right w:val="single" w:sz="6" w:color="D8E5F2"/>
            </w:tcBorders>
          </w:tcPr>
          <w:p>
            <w:pPr>
              <w:pStyle w:val="PAPCallout"/>
            </w:pPr>
            <w:r>
              <w:rPr>
                <w:b/>
                <w:color w:val="0B1F3A"/>
              </w:rPr>
              <w:t>Project Price</w:t>
              <w:br/>
            </w:r>
            <w:r>
              <w:t>Base package + extra videos + custom graphics + copywriting + technical work + rush fee - approved discount.</w:t>
            </w:r>
          </w:p>
        </w:tc>
      </w:tr>
    </w:tbl>
    <w:p>
      <w:pPr>
        <w:spacing w:after="0"/>
      </w:pPr>
    </w:p>
    <w:p>
      <w:pPr>
        <w:pStyle w:val="Heading2"/>
      </w:pPr>
      <w:r>
        <w:t>Example Quote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083"/>
        <w:gridCol w:w="5083"/>
      </w:tblGrid>
      <w:tr>
        <w:tc>
          <w:tcPr>
            <w:tcW w:type="dxa" w:w="6912"/>
            <w:shd w:fill="0B1F3A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Item</w:t>
            </w:r>
          </w:p>
        </w:tc>
        <w:tc>
          <w:tcPr>
            <w:tcW w:type="dxa" w:w="2592"/>
            <w:shd w:fill="0B1F3A"/>
            <w:vAlign w:val="center"/>
          </w:tcPr>
          <w:p>
            <w:pPr>
              <w:jc w:val="center"/>
            </w:pPr>
            <w:r>
              <w:rPr>
                <w:b/>
                <w:color w:val="FFFFFF"/>
                <w:sz w:val="18"/>
              </w:rPr>
              <w:t>Amount</w:t>
            </w:r>
          </w:p>
        </w:tc>
      </w:tr>
      <w:tr>
        <w:tc>
          <w:tcPr>
            <w:tcW w:type="dxa" w:w="6912"/>
            <w:vAlign w:val="top"/>
          </w:tcPr>
          <w:p>
            <w:pPr>
              <w:spacing w:after="0"/>
            </w:pPr>
            <w:r>
              <w:rPr>
                <w:sz w:val="17"/>
              </w:rPr>
              <w:t>PAP Starter Setup</w:t>
            </w:r>
          </w:p>
        </w:tc>
        <w:tc>
          <w:tcPr>
            <w:tcW w:type="dxa" w:w="2592"/>
            <w:vAlign w:val="top"/>
          </w:tcPr>
          <w:p>
            <w:pPr>
              <w:spacing w:after="0"/>
            </w:pPr>
            <w:r>
              <w:rPr>
                <w:sz w:val="17"/>
              </w:rPr>
              <w:t>$147</w:t>
            </w:r>
          </w:p>
        </w:tc>
      </w:tr>
      <w:tr>
        <w:tc>
          <w:tcPr>
            <w:tcW w:type="dxa" w:w="6912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Two custom graphics</w:t>
            </w:r>
          </w:p>
        </w:tc>
        <w:tc>
          <w:tcPr>
            <w:tcW w:type="dxa" w:w="2592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$70</w:t>
            </w:r>
          </w:p>
        </w:tc>
      </w:tr>
      <w:tr>
        <w:tc>
          <w:tcPr>
            <w:tcW w:type="dxa" w:w="6912"/>
            <w:vAlign w:val="top"/>
          </w:tcPr>
          <w:p>
            <w:pPr>
              <w:spacing w:after="0"/>
            </w:pPr>
            <w:r>
              <w:rPr>
                <w:sz w:val="17"/>
              </w:rPr>
              <w:t>Copywriting upgrade</w:t>
            </w:r>
          </w:p>
        </w:tc>
        <w:tc>
          <w:tcPr>
            <w:tcW w:type="dxa" w:w="2592"/>
            <w:vAlign w:val="top"/>
          </w:tcPr>
          <w:p>
            <w:pPr>
              <w:spacing w:after="0"/>
            </w:pPr>
            <w:r>
              <w:rPr>
                <w:sz w:val="17"/>
              </w:rPr>
              <w:t>$75</w:t>
            </w:r>
          </w:p>
        </w:tc>
      </w:tr>
      <w:tr>
        <w:tc>
          <w:tcPr>
            <w:tcW w:type="dxa" w:w="6912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Quoted one-time total</w:t>
            </w:r>
          </w:p>
        </w:tc>
        <w:tc>
          <w:tcPr>
            <w:tcW w:type="dxa" w:w="2592"/>
            <w:vAlign w:val="top"/>
            <w:shd w:fill="F7FAFC"/>
          </w:tcPr>
          <w:p>
            <w:pPr>
              <w:spacing w:after="0"/>
            </w:pPr>
            <w:r>
              <w:rPr>
                <w:sz w:val="17"/>
              </w:rPr>
              <w:t>$292</w:t>
            </w:r>
          </w:p>
        </w:tc>
      </w:tr>
    </w:tbl>
    <w:p/>
    <w:p>
      <w:pPr>
        <w:pStyle w:val="Heading1"/>
      </w:pPr>
      <w:r>
        <w:t>What to Define Before Quoting</w:t>
      </w:r>
    </w:p>
    <w:p>
      <w:pPr>
        <w:pStyle w:val="ListBullet"/>
        <w:spacing w:after="40"/>
      </w:pPr>
      <w:r>
        <w:t>Number of videos, campaigns, and ads included.</w:t>
      </w:r>
    </w:p>
    <w:p>
      <w:pPr>
        <w:pStyle w:val="ListBullet"/>
        <w:spacing w:after="40"/>
      </w:pPr>
      <w:r>
        <w:t>Who supplies copy, images, branding, and destination URLs.</w:t>
      </w:r>
    </w:p>
    <w:p>
      <w:pPr>
        <w:pStyle w:val="ListBullet"/>
        <w:spacing w:after="40"/>
      </w:pPr>
      <w:r>
        <w:t>Whether you are installing the code or only providing it.</w:t>
      </w:r>
    </w:p>
    <w:p>
      <w:pPr>
        <w:pStyle w:val="ListBullet"/>
        <w:spacing w:after="40"/>
      </w:pPr>
      <w:r>
        <w:t>Which page builders and video platforms are involved.</w:t>
      </w:r>
    </w:p>
    <w:p>
      <w:pPr>
        <w:pStyle w:val="ListBullet"/>
        <w:spacing w:after="40"/>
      </w:pPr>
      <w:r>
        <w:t>How many revision rounds are included.</w:t>
      </w:r>
    </w:p>
    <w:p>
      <w:pPr>
        <w:pStyle w:val="ListBullet"/>
        <w:spacing w:after="40"/>
      </w:pPr>
      <w:r>
        <w:t>When the client must provide feedback and approvals.</w:t>
      </w:r>
    </w:p>
    <w:p>
      <w:pPr>
        <w:pStyle w:val="ListBullet"/>
        <w:spacing w:after="40"/>
      </w:pPr>
      <w:r>
        <w:t>Whether ongoing monitoring and reporting are included.</w:t>
      </w:r>
    </w:p>
    <w:p>
      <w:pPr>
        <w:pStyle w:val="ListBullet"/>
        <w:spacing w:after="40"/>
      </w:pPr>
      <w:r>
        <w:t>What happens when the client changes the page or video after launch.</w:t>
      </w:r>
    </w:p>
    <w:p>
      <w:pPr>
        <w:pStyle w:val="Heading1"/>
      </w:pPr>
      <w:r>
        <w:t>Monthly Service Rules</w:t>
      </w:r>
    </w:p>
    <w:p>
      <w:r>
        <w:t>A recurring service should include recurring work. Do not charge monthly simply for keeping a campaign active unless the client understands what is included. Define the monthly deliverables, reporting date, response window, included changes, and cancellation process.</w:t>
      </w:r>
    </w:p>
    <w:p>
      <w:pPr>
        <w:pStyle w:val="Heading1"/>
      </w:pPr>
      <w:r>
        <w:t>Discounting Without Devaluing the Service</w:t>
      </w:r>
    </w:p>
    <w:p>
      <w:pPr>
        <w:pStyle w:val="ListBullet"/>
        <w:spacing w:after="40"/>
      </w:pPr>
      <w:r>
        <w:t>Offer a limited introductory price in exchange for a testimonial or case study approval.</w:t>
      </w:r>
    </w:p>
    <w:p>
      <w:pPr>
        <w:pStyle w:val="ListBullet"/>
        <w:spacing w:after="40"/>
      </w:pPr>
      <w:r>
        <w:t>Bundle several videos instead of cutting the price of each deliverable.</w:t>
      </w:r>
    </w:p>
    <w:p>
      <w:pPr>
        <w:pStyle w:val="ListBullet"/>
        <w:spacing w:after="40"/>
      </w:pPr>
      <w:r>
        <w:t>Use a deposit or full upfront payment for fixed-price projects.</w:t>
      </w:r>
    </w:p>
    <w:p>
      <w:pPr>
        <w:pStyle w:val="ListBullet"/>
        <w:spacing w:after="40"/>
      </w:pPr>
      <w:r>
        <w:t>Do not provide unlimited revisions or open-ended technical support.</w:t>
      </w:r>
    </w:p>
    <w:p>
      <w:pPr>
        <w:pStyle w:val="ListBullet"/>
        <w:spacing w:after="40"/>
      </w:pPr>
      <w:r>
        <w:t>Avoid earnings claims when explaining potential value.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0008"/>
      </w:tblGrid>
      <w:tr>
        <w:tc>
          <w:tcPr>
            <w:tcW w:type="dxa" w:w="10166"/>
            <w:shd w:fill="EEF4FA"/>
            <w:tcBorders>
              <w:top w:val="single" w:sz="6" w:color="D8E5F2"/>
              <w:left w:val="single" w:sz="6" w:color="D8E5F2"/>
              <w:bottom w:val="single" w:sz="6" w:color="D8E5F2"/>
              <w:right w:val="single" w:sz="6" w:color="D8E5F2"/>
            </w:tcBorders>
          </w:tcPr>
          <w:p>
            <w:pPr>
              <w:pStyle w:val="PAPCallout"/>
            </w:pPr>
            <w:r>
              <w:rPr>
                <w:b/>
                <w:color w:val="0B1F3A"/>
              </w:rPr>
              <w:t>Template note</w:t>
              <w:br/>
            </w:r>
            <w:r>
              <w:t>Replace all suggested prices with amounts appropriate for your experience, audience, costs, and local requirements. All figures are examples in U.S. dollars.</w:t>
            </w:r>
          </w:p>
        </w:tc>
      </w:tr>
    </w:tbl>
    <w:p>
      <w:pPr>
        <w:spacing w:after="0"/>
      </w:pPr>
    </w:p>
    <w:sectPr w:rsidR="00FC693F" w:rsidRPr="0006063C" w:rsidSect="00034616">
      <w:footerReference w:type="default" r:id="rId10"/>
      <w:pgSz w:w="12240" w:h="15840"/>
      <w:pgMar w:top="893" w:right="1037" w:bottom="893" w:left="103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PAPSmall"/>
      <w:jc w:val="center"/>
    </w:pPr>
    <w:r>
      <w:t xml:space="preserve">Pause Ad Profits Client Profit Kit  |  </w:t>
    </w:r>
    <w:r>
      <w:t xml:space="preserve">Page </w:t>
      <w:fldChar w:fldCharType="begin"/>
      <w:instrText xml:space="preserve">PAGE</w:instrText>
      <w:fldChar w:fldCharType="end"/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Liberation Sans" w:hAnsi="Liberation Sans" w:eastAsia="Liberation San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Liberation Sans" w:hAnsi="Liberation Sans" w:eastAsia="Liberation Sans"/>
      <w:b/>
      <w:bCs/>
      <w:color w:val="0B1F3A"/>
      <w:sz w:val="3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Liberation Sans" w:hAnsi="Liberation Sans" w:eastAsia="Liberation Sans"/>
      <w:b/>
      <w:bCs/>
      <w:color w:val="1473E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Liberation Sans" w:hAnsi="Liberation Sans" w:eastAsia="Liberation Sans"/>
      <w:b/>
      <w:bCs/>
      <w:color w:val="F59E0B"/>
      <w:sz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Liberation Sans" w:hAnsi="Liberation Sans" w:eastAsia="Liberation Sans"/>
      <w:b/>
      <w:color w:val="0B1F3A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PAPCallout">
    <w:name w:val="PAP Callout"/>
    <w:pPr>
      <w:spacing w:before="120" w:after="120"/>
      <w:ind w:left="173" w:right="173"/>
    </w:pPr>
    <w:rPr>
      <w:rFonts w:ascii="Liberation Sans" w:hAnsi="Liberation Sans"/>
      <w:color w:val="1D2939"/>
      <w:sz w:val="20"/>
    </w:rPr>
  </w:style>
  <w:style w:type="paragraph" w:customStyle="1" w:styleId="PAPSmall">
    <w:name w:val="PAP Small"/>
    <w:rPr>
      <w:rFonts w:ascii="Liberation Sans" w:hAnsi="Liberation Sans"/>
      <w:color w:val="667085"/>
      <w:sz w:val="16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Client Service Packages &amp; Pricing Guide</dc:title>
  <dc:subject/>
  <dc:creator>Profit Tool Hub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